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6DA2" w14:textId="1A7CAA9C" w:rsidR="00B12B1B" w:rsidRPr="00ED36B5" w:rsidRDefault="00304830" w:rsidP="00B12B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</w:rPr>
        <w:t xml:space="preserve">РГУ </w:t>
      </w: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Чарынский </w:t>
      </w:r>
      <w:r w:rsidR="00B12B1B" w:rsidRPr="00ED36B5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Государственный национальный природный парк </w:t>
      </w:r>
    </w:p>
    <w:p w14:paraId="07D2CC20" w14:textId="0F683D71" w:rsidR="00B12B1B" w:rsidRPr="00ED36B5" w:rsidRDefault="00304830" w:rsidP="00B12B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Тендерная</w:t>
      </w:r>
      <w:r w:rsidR="00B12B1B" w:rsidRPr="00ED36B5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документация по подготовке тендеров и участию в тендере для потенциальных участников </w:t>
      </w:r>
      <w:r w:rsidR="003B2443" w:rsidRPr="00ED36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для </w:t>
      </w:r>
      <w:r w:rsidR="00B12B1B" w:rsidRPr="00ED36B5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</w:t>
      </w: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участка</w:t>
      </w:r>
      <w:r w:rsidR="00B12B1B" w:rsidRPr="00ED36B5">
        <w:rPr>
          <w:rFonts w:ascii="Times New Roman" w:hAnsi="Times New Roman" w:cs="Times New Roman"/>
          <w:b/>
          <w:bCs/>
          <w:sz w:val="28"/>
          <w:szCs w:val="28"/>
        </w:rPr>
        <w:t xml:space="preserve"> национального парка в долгосрочное пользование</w:t>
      </w: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CEDAD29" w14:textId="77777777" w:rsidR="00B12B1B" w:rsidRPr="00ED36B5" w:rsidRDefault="00B12B1B" w:rsidP="00B12B1B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229535F1" w14:textId="5A7A4EF5" w:rsidR="00B12B1B" w:rsidRPr="00ED36B5" w:rsidRDefault="00B12B1B" w:rsidP="00304830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</w:rPr>
        <w:t>ЛОТ №1</w:t>
      </w:r>
    </w:p>
    <w:p w14:paraId="514313F9" w14:textId="77777777" w:rsidR="00B12B1B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6B5">
        <w:rPr>
          <w:rFonts w:ascii="Times New Roman" w:hAnsi="Times New Roman" w:cs="Times New Roman"/>
          <w:sz w:val="28"/>
          <w:szCs w:val="28"/>
        </w:rPr>
        <w:t>1. Настоящая Тендерная документация предназначена для предоставления потенциальным участникам полной информации об условиях их участия в тендере.</w:t>
      </w:r>
    </w:p>
    <w:p w14:paraId="156224DB" w14:textId="77777777" w:rsidR="00B12B1B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6B5">
        <w:rPr>
          <w:rFonts w:ascii="Times New Roman" w:hAnsi="Times New Roman" w:cs="Times New Roman"/>
          <w:sz w:val="28"/>
          <w:szCs w:val="28"/>
        </w:rPr>
        <w:t>2. Организатор тендера – РГУ Государственный национальный природный парк «Чарын» (далее – Национальный парк).</w:t>
      </w:r>
    </w:p>
    <w:p w14:paraId="6E3D69F1" w14:textId="712CA086" w:rsidR="00834120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</w:rPr>
        <w:t>3. Тендер по лоту №1 проводится в целях определения потенциальных участников тендера на предоставление участков национального парка и объектов туристско-рекреационного назначения на территории государственного национального природного парка «Чарын» в долгосрочное пользование.</w:t>
      </w:r>
    </w:p>
    <w:p w14:paraId="4BEEAEB3" w14:textId="77777777" w:rsidR="00B12B1B" w:rsidRPr="00ED36B5" w:rsidRDefault="00B12B1B" w:rsidP="00B12B1B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02270E15" w14:textId="21787D0B" w:rsidR="00B12B1B" w:rsidRPr="00ED36B5" w:rsidRDefault="00B12B1B" w:rsidP="00B12B1B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Таблица 1. Перспективные участки Чарынского ГНПП, предоставляемые в долгосрочное пользование для строительства и реконструкции капитальных объектов туристско-рекреационного назначения.</w:t>
      </w:r>
    </w:p>
    <w:p w14:paraId="16324472" w14:textId="77777777" w:rsidR="00B12B1B" w:rsidRPr="00ED36B5" w:rsidRDefault="00B12B1B" w:rsidP="00B12B1B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8"/>
        <w:gridCol w:w="1217"/>
        <w:gridCol w:w="2800"/>
        <w:gridCol w:w="1479"/>
        <w:gridCol w:w="2560"/>
        <w:gridCol w:w="791"/>
      </w:tblGrid>
      <w:tr w:rsidR="00B12B1B" w:rsidRPr="00ED36B5" w14:paraId="22E5ADF6" w14:textId="77777777" w:rsidTr="00B12B1B">
        <w:tc>
          <w:tcPr>
            <w:tcW w:w="0" w:type="auto"/>
            <w:hideMark/>
          </w:tcPr>
          <w:p w14:paraId="10994B62" w14:textId="77777777" w:rsidR="00B12B1B" w:rsidRPr="00ED36B5" w:rsidRDefault="00B12B1B" w:rsidP="00B12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№</w:t>
            </w:r>
          </w:p>
        </w:tc>
        <w:tc>
          <w:tcPr>
            <w:tcW w:w="1284" w:type="dxa"/>
            <w:hideMark/>
          </w:tcPr>
          <w:p w14:paraId="63EDACF1" w14:textId="77777777" w:rsidR="00B12B1B" w:rsidRPr="00ED36B5" w:rsidRDefault="00B12B1B" w:rsidP="00B12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Объект</w:t>
            </w:r>
          </w:p>
        </w:tc>
        <w:tc>
          <w:tcPr>
            <w:tcW w:w="2431" w:type="dxa"/>
            <w:hideMark/>
          </w:tcPr>
          <w:p w14:paraId="30107830" w14:textId="77777777" w:rsidR="00B12B1B" w:rsidRPr="00ED36B5" w:rsidRDefault="00B12B1B" w:rsidP="00B12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Месторасположение</w:t>
            </w:r>
          </w:p>
        </w:tc>
        <w:tc>
          <w:tcPr>
            <w:tcW w:w="1492" w:type="dxa"/>
            <w:hideMark/>
          </w:tcPr>
          <w:p w14:paraId="02DF8CBA" w14:textId="77777777" w:rsidR="00B12B1B" w:rsidRPr="00ED36B5" w:rsidRDefault="00B12B1B" w:rsidP="00B12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Площадь, га</w:t>
            </w:r>
          </w:p>
        </w:tc>
        <w:tc>
          <w:tcPr>
            <w:tcW w:w="2964" w:type="dxa"/>
            <w:hideMark/>
          </w:tcPr>
          <w:p w14:paraId="55267364" w14:textId="77777777" w:rsidR="00B12B1B" w:rsidRPr="00ED36B5" w:rsidRDefault="00B12B1B" w:rsidP="00B12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Планируемые мероприятия</w:t>
            </w:r>
          </w:p>
        </w:tc>
        <w:tc>
          <w:tcPr>
            <w:tcW w:w="716" w:type="dxa"/>
            <w:hideMark/>
          </w:tcPr>
          <w:p w14:paraId="3F25A988" w14:textId="77777777" w:rsidR="00B12B1B" w:rsidRPr="00ED36B5" w:rsidRDefault="00B12B1B" w:rsidP="00B12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№ лота</w:t>
            </w:r>
          </w:p>
        </w:tc>
      </w:tr>
      <w:tr w:rsidR="00B12B1B" w:rsidRPr="00ED36B5" w14:paraId="71EE6080" w14:textId="77777777" w:rsidTr="00B12B1B">
        <w:tc>
          <w:tcPr>
            <w:tcW w:w="0" w:type="auto"/>
            <w:hideMark/>
          </w:tcPr>
          <w:p w14:paraId="604F6AE4" w14:textId="77777777" w:rsidR="00B12B1B" w:rsidRPr="00ED36B5" w:rsidRDefault="00B12B1B" w:rsidP="00B12B1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t>1</w:t>
            </w:r>
          </w:p>
        </w:tc>
        <w:tc>
          <w:tcPr>
            <w:tcW w:w="1284" w:type="dxa"/>
            <w:hideMark/>
          </w:tcPr>
          <w:p w14:paraId="61C49354" w14:textId="489A173D" w:rsidR="00B12B1B" w:rsidRPr="00ED36B5" w:rsidRDefault="00B12B1B" w:rsidP="00B12B1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t>Казах аул</w:t>
            </w:r>
          </w:p>
        </w:tc>
        <w:tc>
          <w:tcPr>
            <w:tcW w:w="2431" w:type="dxa"/>
            <w:hideMark/>
          </w:tcPr>
          <w:p w14:paraId="4D54E9F0" w14:textId="77777777" w:rsidR="00B12B1B" w:rsidRPr="00ED36B5" w:rsidRDefault="00B12B1B" w:rsidP="00B12B1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t>Чарынский каньон, обход 118 квартал 1,2; обход 115 квартал 1; обход 114 квартал 1</w:t>
            </w:r>
          </w:p>
        </w:tc>
        <w:tc>
          <w:tcPr>
            <w:tcW w:w="1492" w:type="dxa"/>
            <w:hideMark/>
          </w:tcPr>
          <w:p w14:paraId="4D9F6FA8" w14:textId="77777777" w:rsidR="00B12B1B" w:rsidRPr="00ED36B5" w:rsidRDefault="00B12B1B" w:rsidP="00B12B1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t>6 га</w:t>
            </w:r>
          </w:p>
        </w:tc>
        <w:tc>
          <w:tcPr>
            <w:tcW w:w="2964" w:type="dxa"/>
            <w:hideMark/>
          </w:tcPr>
          <w:p w14:paraId="788B6734" w14:textId="77777777" w:rsidR="00B12B1B" w:rsidRPr="00ED36B5" w:rsidRDefault="00B12B1B" w:rsidP="00B12B1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t>Ресторан на 500 человек, юрты, баня, гостиничный комплекс, площадка для проведения конных и национальных игр, магазины, СГТ, место для содержания домашних животных, озеленение и благоустройство территории.</w:t>
            </w:r>
          </w:p>
        </w:tc>
        <w:tc>
          <w:tcPr>
            <w:tcW w:w="716" w:type="dxa"/>
            <w:hideMark/>
          </w:tcPr>
          <w:p w14:paraId="17033AAB" w14:textId="77777777" w:rsidR="00B12B1B" w:rsidRPr="00ED36B5" w:rsidRDefault="00B12B1B" w:rsidP="00B12B1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ED36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t>1</w:t>
            </w:r>
          </w:p>
        </w:tc>
      </w:tr>
    </w:tbl>
    <w:p w14:paraId="00F9A779" w14:textId="0E0C1FA7" w:rsidR="00B12B1B" w:rsidRPr="00ED36B5" w:rsidRDefault="00B12B1B" w:rsidP="00B12B1B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195AD964" w14:textId="0C2C31E5" w:rsidR="00B12B1B" w:rsidRPr="00ED36B5" w:rsidRDefault="00B12B1B" w:rsidP="00B12B1B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Место и сроки проведения тендера</w:t>
      </w:r>
    </w:p>
    <w:p w14:paraId="673A2213" w14:textId="63051C33" w:rsidR="00B12B1B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 тендера: конкурсные заявки принимаются по адресу: Алматинская область, Уйгурский район, село Чунджа, ул. Кыдырбаева, 4, РГУ Государственный национальный природный парк «Чарын», кабинет отдела </w:t>
      </w:r>
      <w:r w:rsidRPr="00ED36B5">
        <w:rPr>
          <w:rFonts w:ascii="Times New Roman" w:hAnsi="Times New Roman" w:cs="Times New Roman"/>
          <w:sz w:val="28"/>
          <w:szCs w:val="28"/>
          <w:lang w:val="ru-RU"/>
        </w:rPr>
        <w:lastRenderedPageBreak/>
        <w:t>экологического просвещения и туризма, до окончания срока приема конкурсных заявок.</w:t>
      </w:r>
    </w:p>
    <w:p w14:paraId="3E1B498B" w14:textId="77777777" w:rsidR="00B12B1B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Все заявки, поступившие в Национальный парк (его ответственному лицу) после окончательного срока подачи конкурсных заявок, не принимаются, не вскрываются и возвращаются потенциальным участникам, их подавшим.</w:t>
      </w:r>
    </w:p>
    <w:p w14:paraId="53D89A8B" w14:textId="77777777" w:rsidR="00950D31" w:rsidRPr="00ED36B5" w:rsidRDefault="00950D31" w:rsidP="00412B7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56783088" w14:textId="2133F801" w:rsidR="00B12B1B" w:rsidRPr="00ED36B5" w:rsidRDefault="00B12B1B" w:rsidP="00304830">
      <w:pPr>
        <w:pStyle w:val="ae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Подача заявки на тендер</w:t>
      </w:r>
    </w:p>
    <w:p w14:paraId="5BEABFC6" w14:textId="77777777" w:rsidR="00B12B1B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Конкурсные заявки должны быть представлены в соответствии с требованиями настоящей Конкурсной документации.</w:t>
      </w:r>
    </w:p>
    <w:p w14:paraId="47E0DA61" w14:textId="7D550E6A" w:rsidR="00B12B1B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Участник конкурса предоставляет следующие документы (на государственном или русском языках):</w:t>
      </w:r>
    </w:p>
    <w:p w14:paraId="68062AD0" w14:textId="77777777" w:rsidR="00950D31" w:rsidRPr="00ED36B5" w:rsidRDefault="00B12B1B" w:rsidP="00950D31">
      <w:pPr>
        <w:pStyle w:val="ae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тендерную заявку на участие в тендере с указанием лотов;</w:t>
      </w:r>
    </w:p>
    <w:p w14:paraId="54A49C6D" w14:textId="77777777" w:rsidR="00950D31" w:rsidRPr="00ED36B5" w:rsidRDefault="00B12B1B" w:rsidP="00950D31">
      <w:pPr>
        <w:pStyle w:val="ae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копию устава и свидетельства или справки о государственной регистрации (перерегистрации) юридического лица — для юридических лиц, копию документа, удостоверяющего личность — для физических лиц;</w:t>
      </w:r>
    </w:p>
    <w:p w14:paraId="2D9D975E" w14:textId="77777777" w:rsidR="00950D31" w:rsidRPr="00ED36B5" w:rsidRDefault="00B12B1B" w:rsidP="00950D31">
      <w:pPr>
        <w:pStyle w:val="ae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технические спецификации (описания, планы, чертежи, включая ссылки на международные или национальные стандарты, единые нормы и правила, описание технических характеристик предлагаемых работ и услуг);</w:t>
      </w:r>
    </w:p>
    <w:p w14:paraId="05FCC089" w14:textId="77777777" w:rsidR="00950D31" w:rsidRPr="00ED36B5" w:rsidRDefault="00B12B1B" w:rsidP="00950D31">
      <w:pPr>
        <w:pStyle w:val="ae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перечень услуг и работ, направленных на обеспечение сохранности природных комплексов и объектов государственного природно-заповедного фонда, а также историко-культурного наследия, расположенного на его территории, с учетом создания новых рабочих мест для местного населения и создания условий для лиц с инвалидностью;</w:t>
      </w:r>
    </w:p>
    <w:p w14:paraId="75793B60" w14:textId="77777777" w:rsidR="00950D31" w:rsidRPr="00ED36B5" w:rsidRDefault="00B12B1B" w:rsidP="00950D31">
      <w:pPr>
        <w:pStyle w:val="ae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копии разрешений, выданных в соответствии с требованиями к выполнению предусмотренных работ при строительстве объектов, либо копии договоров, заключенных с организациями, имеющими соответствующие разрешения, с приложением копий таких разрешений;</w:t>
      </w:r>
    </w:p>
    <w:p w14:paraId="723858E8" w14:textId="77777777" w:rsidR="00950D31" w:rsidRPr="00ED36B5" w:rsidRDefault="00B12B1B" w:rsidP="00950D31">
      <w:pPr>
        <w:pStyle w:val="ae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наличие финансовых ресурсов либо доступ к заемным средствам, либо наличие соответствующих материальных и трудовых ресурсов, достаточных для объектов;</w:t>
      </w:r>
    </w:p>
    <w:p w14:paraId="4C608385" w14:textId="4021F81D" w:rsidR="00B12B1B" w:rsidRPr="00ED36B5" w:rsidRDefault="00B12B1B" w:rsidP="00950D31">
      <w:pPr>
        <w:pStyle w:val="ae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предлагаемый эскиз строительных объектов (образец проекта).</w:t>
      </w:r>
    </w:p>
    <w:p w14:paraId="01EC110B" w14:textId="77777777" w:rsidR="00950D31" w:rsidRPr="00ED36B5" w:rsidRDefault="00950D31" w:rsidP="00B12B1B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5EA3BC" w14:textId="76B7BD74" w:rsidR="00B12B1B" w:rsidRPr="00ED36B5" w:rsidRDefault="00B12B1B" w:rsidP="00B12B1B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Время и место подачи заявок на тендер</w:t>
      </w:r>
    </w:p>
    <w:p w14:paraId="310E24E3" w14:textId="77777777" w:rsidR="00950D31" w:rsidRPr="00ED36B5" w:rsidRDefault="00950D31" w:rsidP="00B12B1B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6CD581" w14:textId="1181EB7D" w:rsidR="00B12B1B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Место приема заявок от участников тендера: Алматинская область, Уйгурский район, село Чунджа, ул. Кыдырбаева, 4. Почтовый индекс: 041800.</w:t>
      </w:r>
    </w:p>
    <w:p w14:paraId="53F6E43E" w14:textId="1B47B325" w:rsidR="00B12B1B" w:rsidRPr="00ED36B5" w:rsidRDefault="00B12B1B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Тендерные заявки принимаются в установленные сроки, и с момента регистрации заявке присваивается статус участника.</w:t>
      </w:r>
    </w:p>
    <w:p w14:paraId="0DEEDCBC" w14:textId="77777777" w:rsidR="00950D31" w:rsidRDefault="00950D31" w:rsidP="00146A31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8D9DB6" w14:textId="77777777" w:rsidR="00412B70" w:rsidRPr="00ED36B5" w:rsidRDefault="00412B70" w:rsidP="00146A31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E978DD" w14:textId="29773139" w:rsidR="00146A31" w:rsidRPr="00ED36B5" w:rsidRDefault="00950D31" w:rsidP="00146A31">
      <w:pPr>
        <w:pStyle w:val="ae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4. </w:t>
      </w:r>
      <w:r w:rsidR="00146A31"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Целевое назначение участка</w:t>
      </w:r>
    </w:p>
    <w:p w14:paraId="2D72ACF3" w14:textId="0803E80A" w:rsidR="00B12B1B" w:rsidRPr="00ED36B5" w:rsidRDefault="00304830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Земельный участок предоставляется в долгосрочное пользование с целевым назначением для развития туристской инфраструктуры и осуществления туристской деятельности.</w:t>
      </w:r>
    </w:p>
    <w:p w14:paraId="5104460F" w14:textId="54C5FDBE" w:rsidR="003B2443" w:rsidRPr="00ED36B5" w:rsidRDefault="003B2443" w:rsidP="003B2443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Сроки разработки проектно-сметной документации</w:t>
      </w:r>
    </w:p>
    <w:p w14:paraId="75983E33" w14:textId="38188539" w:rsidR="00146A31" w:rsidRPr="00ED36B5" w:rsidRDefault="003B2443" w:rsidP="00146A3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46A31" w:rsidRPr="00ED36B5">
        <w:rPr>
          <w:rFonts w:ascii="Times New Roman" w:hAnsi="Times New Roman" w:cs="Times New Roman"/>
          <w:sz w:val="28"/>
          <w:szCs w:val="28"/>
          <w:lang w:val="ru-RU"/>
        </w:rPr>
        <w:t>роки разработки проектно-сметной документации (далее – ПСД) и строительства объектов (при этом срок разработки ПСД устанавливается не более одного календарного года, а срок строительства объекта не более трех календарных лет);</w:t>
      </w:r>
    </w:p>
    <w:p w14:paraId="6C972841" w14:textId="60F1DE4D" w:rsidR="00146A31" w:rsidRPr="00ED36B5" w:rsidRDefault="00146A31" w:rsidP="00146A31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 по строительству</w:t>
      </w:r>
    </w:p>
    <w:p w14:paraId="7DF03E05" w14:textId="4646DA17" w:rsidR="00146A31" w:rsidRPr="00ED36B5" w:rsidRDefault="00146A31" w:rsidP="00146A3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 по строительству объектов инженерной, транспортной и социальной инфраструктуры, благоустройству прилегающей территории объекта строительства, этажности, используемым при строительстве материалам, управлению отходами, образующихся при строительстве в соответствии с законодательством в сфере архитектурной, градостроительной и строительной деятельности в Республике Казахстан;</w:t>
      </w:r>
    </w:p>
    <w:p w14:paraId="04884220" w14:textId="347C145D" w:rsidR="00146A31" w:rsidRPr="00ED36B5" w:rsidRDefault="00146A31" w:rsidP="00146A31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 по возмещению всех убытков</w:t>
      </w:r>
    </w:p>
    <w:p w14:paraId="3220D77D" w14:textId="5B513BB3" w:rsidR="00146A31" w:rsidRPr="00ED36B5" w:rsidRDefault="00146A31" w:rsidP="00146A3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36B5">
        <w:rPr>
          <w:rFonts w:ascii="Times New Roman" w:hAnsi="Times New Roman" w:cs="Times New Roman"/>
          <w:sz w:val="28"/>
          <w:szCs w:val="28"/>
          <w:lang w:val="ru-RU"/>
        </w:rPr>
        <w:t xml:space="preserve">  Требования по возмещению всех убытков, связанных со сносом недвижимости, расположенной на застраиваемом земельном участке, регулируется согласно пункту 7 статьи 44 Земельного Кодекса Республики Казахстан</w:t>
      </w:r>
    </w:p>
    <w:p w14:paraId="3D3BF6B6" w14:textId="77777777" w:rsidR="00304830" w:rsidRPr="00ED36B5" w:rsidRDefault="00304830" w:rsidP="00B12B1B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71AE81" w14:textId="77777777" w:rsidR="00B12B1B" w:rsidRPr="00ED36B5" w:rsidRDefault="00B12B1B" w:rsidP="005353D7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ED36B5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Техническая спецификация по лоту №1</w:t>
      </w:r>
    </w:p>
    <w:p w14:paraId="0CFCE691" w14:textId="77777777" w:rsidR="005353D7" w:rsidRPr="00ED36B5" w:rsidRDefault="005353D7" w:rsidP="005353D7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</w:p>
    <w:tbl>
      <w:tblPr>
        <w:tblStyle w:val="1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126"/>
        <w:gridCol w:w="6804"/>
      </w:tblGrid>
      <w:tr w:rsidR="005353D7" w:rsidRPr="00ED36B5" w14:paraId="450E1F3C" w14:textId="77777777" w:rsidTr="00ED36B5">
        <w:trPr>
          <w:trHeight w:val="50"/>
        </w:trPr>
        <w:tc>
          <w:tcPr>
            <w:tcW w:w="9923" w:type="dxa"/>
            <w:gridSpan w:val="4"/>
          </w:tcPr>
          <w:p w14:paraId="4B1022A6" w14:textId="77777777" w:rsidR="005353D7" w:rsidRPr="00ED36B5" w:rsidRDefault="005353D7" w:rsidP="005353D7">
            <w:pPr>
              <w:tabs>
                <w:tab w:val="left" w:pos="1020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D36B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ЛОТ №1</w:t>
            </w:r>
          </w:p>
        </w:tc>
      </w:tr>
      <w:tr w:rsidR="005353D7" w:rsidRPr="00ED36B5" w14:paraId="6DCDE654" w14:textId="77777777" w:rsidTr="00ED36B5">
        <w:trPr>
          <w:trHeight w:val="176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49D10DF9" w14:textId="77777777" w:rsidR="005353D7" w:rsidRPr="00ED36B5" w:rsidRDefault="005353D7" w:rsidP="005353D7">
            <w:pPr>
              <w:spacing w:line="256" w:lineRule="auto"/>
              <w:ind w:left="1069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36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Шарын шатқалы –118 айналым (1,2 орам), 115 айналым (1 орам), 114 айналым (1 орам), ауданы 6 га.</w:t>
            </w:r>
          </w:p>
          <w:p w14:paraId="7411E6BD" w14:textId="77777777" w:rsidR="005353D7" w:rsidRPr="00ED36B5" w:rsidRDefault="005353D7" w:rsidP="005353D7">
            <w:pPr>
              <w:spacing w:line="256" w:lineRule="auto"/>
              <w:ind w:left="1070" w:firstLine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6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Нысаналы мақсаты: Қазақ ауылы</w:t>
            </w:r>
          </w:p>
        </w:tc>
      </w:tr>
      <w:tr w:rsidR="005353D7" w:rsidRPr="00ED36B5" w14:paraId="2F25A1F4" w14:textId="77777777" w:rsidTr="00ED36B5">
        <w:trPr>
          <w:trHeight w:val="146"/>
        </w:trPr>
        <w:tc>
          <w:tcPr>
            <w:tcW w:w="567" w:type="dxa"/>
          </w:tcPr>
          <w:p w14:paraId="0F0A2685" w14:textId="77777777" w:rsidR="005353D7" w:rsidRPr="00ED36B5" w:rsidRDefault="005353D7" w:rsidP="00ED36B5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D36B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gridSpan w:val="2"/>
          </w:tcPr>
          <w:p w14:paraId="1374757D" w14:textId="7B68E9B6" w:rsidR="005353D7" w:rsidRPr="00ED36B5" w:rsidRDefault="005353D7" w:rsidP="005353D7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D36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Казах ауыл</w:t>
            </w:r>
          </w:p>
        </w:tc>
        <w:tc>
          <w:tcPr>
            <w:tcW w:w="6804" w:type="dxa"/>
          </w:tcPr>
          <w:p w14:paraId="75CC0696" w14:textId="3C1E9727" w:rsidR="005353D7" w:rsidRPr="00ED36B5" w:rsidRDefault="005353D7" w:rsidP="005353D7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sz w:val="28"/>
                <w:szCs w:val="28"/>
                <w:lang w:val="ru-KZ"/>
              </w:rPr>
              <w:t>Комплекс «Казах аул» является уникальным проектом культурно-туристического направления. Он наряду с популяризацией национальных ценностей способствует повышению туристического потенциала региона, созданию новых рабочих мест и развитию качества обслуживания. Проект будет реализован в полном соответствии с современными строительными нормами и стандартами.</w:t>
            </w:r>
          </w:p>
        </w:tc>
      </w:tr>
      <w:tr w:rsidR="005353D7" w:rsidRPr="00ED36B5" w14:paraId="6A7FB1AB" w14:textId="77777777" w:rsidTr="00ED36B5">
        <w:trPr>
          <w:trHeight w:val="5324"/>
        </w:trPr>
        <w:tc>
          <w:tcPr>
            <w:tcW w:w="993" w:type="dxa"/>
            <w:gridSpan w:val="2"/>
          </w:tcPr>
          <w:p w14:paraId="51C2D20D" w14:textId="77777777" w:rsidR="005353D7" w:rsidRPr="00ED36B5" w:rsidRDefault="005353D7" w:rsidP="005353D7">
            <w:pPr>
              <w:tabs>
                <w:tab w:val="left" w:pos="1020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40388FAA" w14:textId="77777777" w:rsidR="005353D7" w:rsidRPr="00ED36B5" w:rsidRDefault="005353D7" w:rsidP="005353D7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Общие требования к размещению юрт и юрточных городков</w:t>
            </w:r>
          </w:p>
          <w:p w14:paraId="3A011058" w14:textId="56561A37" w:rsidR="005353D7" w:rsidRPr="00ED36B5" w:rsidRDefault="005353D7" w:rsidP="005353D7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</w:p>
        </w:tc>
        <w:tc>
          <w:tcPr>
            <w:tcW w:w="6804" w:type="dxa"/>
          </w:tcPr>
          <w:p w14:paraId="4159DBE7" w14:textId="77777777" w:rsidR="005353D7" w:rsidRPr="00ED36B5" w:rsidRDefault="005353D7" w:rsidP="005353D7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Юрты / юрточные городки должны соответствовать требованиям нормативных правовых актов Республики Казахстан, нормативных документов исполнительных органов, а также требованиям настоящего стандарта.</w:t>
            </w:r>
          </w:p>
          <w:p w14:paraId="2F55F693" w14:textId="77777777" w:rsidR="005353D7" w:rsidRPr="00ED36B5" w:rsidRDefault="005353D7" w:rsidP="005353D7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Виды конструкции юрт:</w:t>
            </w: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br/>
              <w:t>а) шестикрылые;</w:t>
            </w: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br/>
              <w:t>б) восьмикрылые.</w:t>
            </w:r>
          </w:p>
          <w:p w14:paraId="0FE12E16" w14:textId="77777777" w:rsidR="005353D7" w:rsidRPr="00ED36B5" w:rsidRDefault="005353D7" w:rsidP="005353D7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Основные размеры и параметры юрт в зависимости от типа должны соответствовать данным, указанным в таблице 1.</w:t>
            </w:r>
          </w:p>
          <w:p w14:paraId="4958EF7D" w14:textId="24BA7005" w:rsidR="005353D7" w:rsidRPr="00ED36B5" w:rsidRDefault="005353D7" w:rsidP="005353D7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Таблица 1</w:t>
            </w:r>
          </w:p>
          <w:tbl>
            <w:tblPr>
              <w:tblpPr w:leftFromText="180" w:rightFromText="180" w:vertAnchor="text" w:horzAnchor="margin" w:tblpXSpec="center" w:tblpY="276"/>
              <w:tblW w:w="5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498"/>
              <w:gridCol w:w="1728"/>
            </w:tblGrid>
            <w:tr w:rsidR="005353D7" w:rsidRPr="00ED36B5" w14:paraId="4F5A6064" w14:textId="77777777" w:rsidTr="007823D1">
              <w:trPr>
                <w:trHeight w:val="14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4F3C5" w14:textId="076D3E14" w:rsidR="005353D7" w:rsidRPr="00ED36B5" w:rsidRDefault="005353D7" w:rsidP="005353D7">
                  <w:pPr>
                    <w:spacing w:after="0" w:line="240" w:lineRule="auto"/>
                    <w:ind w:left="57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Наименование основных размеров и параметров</w:t>
                  </w:r>
                </w:p>
              </w:tc>
              <w:tc>
                <w:tcPr>
                  <w:tcW w:w="32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88D87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Тип юрты</w:t>
                  </w:r>
                </w:p>
              </w:tc>
            </w:tr>
            <w:tr w:rsidR="005353D7" w:rsidRPr="00ED36B5" w14:paraId="076C3EC2" w14:textId="77777777" w:rsidTr="007823D1">
              <w:trPr>
                <w:trHeight w:val="108"/>
              </w:trPr>
              <w:tc>
                <w:tcPr>
                  <w:tcW w:w="2552" w:type="dxa"/>
                  <w:vMerge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930A8FB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ACF780E" w14:textId="2AFA22FB" w:rsidR="005353D7" w:rsidRPr="00ED36B5" w:rsidRDefault="005353D7" w:rsidP="005353D7">
                  <w:pPr>
                    <w:spacing w:after="0" w:line="240" w:lineRule="auto"/>
                    <w:ind w:left="-567"/>
                    <w:jc w:val="right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kk-KZ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Шестикрылая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43D86E1" w14:textId="7F338CEA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right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kk-KZ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Восьмикрылая</w:t>
                  </w:r>
                </w:p>
              </w:tc>
            </w:tr>
            <w:tr w:rsidR="005353D7" w:rsidRPr="00ED36B5" w14:paraId="6976A10C" w14:textId="77777777" w:rsidTr="007823D1">
              <w:trPr>
                <w:trHeight w:val="98"/>
              </w:trPr>
              <w:tc>
                <w:tcPr>
                  <w:tcW w:w="255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82F48" w14:textId="60996C42" w:rsidR="005353D7" w:rsidRPr="00ED36B5" w:rsidRDefault="007823D1" w:rsidP="007823D1">
                  <w:pPr>
                    <w:spacing w:after="0" w:line="240" w:lineRule="auto"/>
                    <w:ind w:left="-680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Диаметр юрты (внутренний), см</w:t>
                  </w:r>
                </w:p>
              </w:tc>
              <w:tc>
                <w:tcPr>
                  <w:tcW w:w="14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AA743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490</w:t>
                  </w:r>
                </w:p>
              </w:tc>
              <w:tc>
                <w:tcPr>
                  <w:tcW w:w="17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F8178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630</w:t>
                  </w:r>
                </w:p>
              </w:tc>
            </w:tr>
            <w:tr w:rsidR="005353D7" w:rsidRPr="00ED36B5" w14:paraId="050E077A" w14:textId="77777777" w:rsidTr="007823D1">
              <w:trPr>
                <w:trHeight w:val="98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3A265" w14:textId="012D14BB" w:rsidR="005353D7" w:rsidRPr="00ED36B5" w:rsidRDefault="007823D1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kk-KZ"/>
                      <w14:ligatures w14:val="none"/>
                    </w:rPr>
                    <w:t>Высота юрты (внутренняя), см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9C0B9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300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376B6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410</w:t>
                  </w:r>
                </w:p>
              </w:tc>
            </w:tr>
            <w:tr w:rsidR="005353D7" w:rsidRPr="00ED36B5" w14:paraId="5CD90E94" w14:textId="77777777" w:rsidTr="007823D1">
              <w:trPr>
                <w:trHeight w:val="98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18141" w14:textId="026B348E" w:rsidR="005353D7" w:rsidRPr="00ED36B5" w:rsidRDefault="007823D1" w:rsidP="005353D7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Полезная площадь, м2, не менее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85B5B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19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56323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31</w:t>
                  </w:r>
                </w:p>
              </w:tc>
            </w:tr>
            <w:tr w:rsidR="005353D7" w:rsidRPr="00ED36B5" w14:paraId="2D0E3DAF" w14:textId="77777777" w:rsidTr="007823D1">
              <w:trPr>
                <w:trHeight w:val="98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C38CA" w14:textId="64E4E910" w:rsidR="005353D7" w:rsidRPr="00ED36B5" w:rsidRDefault="007823D1" w:rsidP="005353D7">
                  <w:pPr>
                    <w:spacing w:after="0" w:line="240" w:lineRule="auto"/>
                    <w:ind w:left="-5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kk-KZ"/>
                      <w14:ligatures w14:val="none"/>
                    </w:rPr>
                    <w:t>Масса юрты, кг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66BE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360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133D4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700</w:t>
                  </w:r>
                </w:p>
              </w:tc>
            </w:tr>
            <w:tr w:rsidR="005353D7" w:rsidRPr="00ED36B5" w14:paraId="0A142B0A" w14:textId="77777777" w:rsidTr="007823D1">
              <w:trPr>
                <w:trHeight w:val="25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12B2F" w14:textId="1F3DECDC" w:rsidR="005353D7" w:rsidRPr="00ED36B5" w:rsidRDefault="007823D1" w:rsidP="005353D7">
                  <w:pPr>
                    <w:spacing w:after="0" w:line="240" w:lineRule="auto"/>
                    <w:ind w:left="-567" w:firstLine="567"/>
                    <w:jc w:val="right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kk-KZ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kk-KZ"/>
                      <w14:ligatures w14:val="none"/>
                    </w:rPr>
                    <w:t>Высота кереге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25DED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160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A1B3F" w14:textId="77777777" w:rsidR="005353D7" w:rsidRPr="00ED36B5" w:rsidRDefault="005353D7" w:rsidP="005353D7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</w:pPr>
                  <w:r w:rsidRPr="00ED36B5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w:t>175</w:t>
                  </w:r>
                </w:p>
              </w:tc>
            </w:tr>
          </w:tbl>
          <w:p w14:paraId="42C3C85E" w14:textId="77777777" w:rsidR="005353D7" w:rsidRPr="00ED36B5" w:rsidRDefault="005353D7" w:rsidP="005353D7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B6255CE" w14:textId="77777777" w:rsidR="007823D1" w:rsidRPr="00ED36B5" w:rsidRDefault="007823D1" w:rsidP="007823D1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Наименование основных размеров и параметров тип юрты предел отклонения</w:t>
            </w: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br/>
              <w:t>шестикрылая | восьмикрылая</w:t>
            </w:r>
          </w:p>
          <w:p w14:paraId="0682B2A1" w14:textId="77777777" w:rsidR="007823D1" w:rsidRPr="00ED36B5" w:rsidRDefault="007823D1" w:rsidP="007823D1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Диаметр юрты (внутренний), см — 490 | 630 | ±10</w:t>
            </w: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br/>
              <w:t>Высота юрты (внутренняя), см — 300 | 410 | ±10</w:t>
            </w: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br/>
              <w:t>Полезная площадь, м2, не менее — 19 | 31</w:t>
            </w: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br/>
              <w:t>Масса юрты, кг — 360 | 700</w:t>
            </w: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br/>
              <w:t>Высота кереге — 160 | 175</w:t>
            </w:r>
          </w:p>
          <w:p w14:paraId="5F0B8874" w14:textId="77777777" w:rsidR="007823D1" w:rsidRPr="00ED36B5" w:rsidRDefault="007823D1" w:rsidP="007823D1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Конструкторская документация юрты, включающая текстовые и графические документы, разрабатывается и оформляется в соответствии с ГОСТ 2.105, ГОСТ 2.104, ГОСТ 2.109, ГОСТ 2.316.</w:t>
            </w:r>
          </w:p>
          <w:p w14:paraId="587EAC4C" w14:textId="77777777" w:rsidR="007823D1" w:rsidRPr="00ED36B5" w:rsidRDefault="007823D1" w:rsidP="007823D1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Деревянный каркас и войлочные покрытия юрты должны состоять из шанырака, уыков, кереге, веревок, двери (сыкырлауык), туырлыка, узика, тундика, войлочного покрытия пола.</w:t>
            </w:r>
          </w:p>
          <w:p w14:paraId="0EA4B781" w14:textId="77777777" w:rsidR="007823D1" w:rsidRPr="00ED36B5" w:rsidRDefault="007823D1" w:rsidP="007823D1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lastRenderedPageBreak/>
              <w:t>В купольной части юрты для установки шанырака должен использоваться бакан. Форма юрты и конструкция ее покрытия должны обеспечивать полный отвод дождевой и талой воды с верхней части юрты.</w:t>
            </w:r>
          </w:p>
          <w:p w14:paraId="602085CF" w14:textId="77777777" w:rsidR="007823D1" w:rsidRPr="00ED36B5" w:rsidRDefault="007823D1" w:rsidP="007823D1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На поверхности покрытия юрты, если необходимо, кроме отверстия шанырака и дымового отверстия, не должно быть элементов и проемов, приводящих к скоплению воды и образованию сквозных отверстий. Для предотвращения избыточного увлажнения войлочных покрытий при длительном воздействии атмосферных осадков (более 1 суток), купол необходимо покрывать дополнительным тентом либо защитным покрытием из различных видов водонепроницаемого материала (только во время выпадения атмосферных осадков).</w:t>
            </w:r>
          </w:p>
          <w:p w14:paraId="5ABA4E02" w14:textId="77777777" w:rsidR="007823D1" w:rsidRPr="00ED36B5" w:rsidRDefault="007823D1" w:rsidP="007823D1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Комплектность</w:t>
            </w:r>
          </w:p>
          <w:p w14:paraId="384F8D93" w14:textId="77777777" w:rsidR="007823D1" w:rsidRPr="00ED36B5" w:rsidRDefault="007823D1" w:rsidP="007823D1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>Комплект юрты должен включать в соответствии с конструкторской документацией:</w:t>
            </w:r>
          </w:p>
          <w:p w14:paraId="5EF71AFD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комплект деталей и элементов юрты в количестве, соответствующем размерам и конструкции юрты (веревки, шанырак, уыки, дверь, бакан, войлочные детали и натяжные шнуры); </w:t>
            </w:r>
          </w:p>
          <w:p w14:paraId="48D34CE7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комплект хлопчатобумажных лент (тесьма, перевязки) (по согласованию с потребителем допускается комплектация другими лентами, не уступающими по качеству хлопчатобумажным); </w:t>
            </w:r>
          </w:p>
          <w:p w14:paraId="6D3A1075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нити для натяжения каркаса юрты (пояс, бас аркан) по ГОСТ 1868; </w:t>
            </w:r>
          </w:p>
          <w:p w14:paraId="679650D6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войлок для пола (по согласованию с потребителем допускается комплектация дополнительными элементами настила); </w:t>
            </w:r>
          </w:p>
          <w:p w14:paraId="0CA81729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тент крыши либо защитное покрытие для купола из произвольного водонепроницаемого материала; </w:t>
            </w:r>
          </w:p>
          <w:p w14:paraId="278D2536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плотный материал для внутренней обивки; </w:t>
            </w:r>
          </w:p>
          <w:p w14:paraId="6CD94DA0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фурнитура по ГОСТ 17734; </w:t>
            </w:r>
          </w:p>
          <w:p w14:paraId="6783D820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паспорт; </w:t>
            </w:r>
          </w:p>
          <w:p w14:paraId="48073E22" w14:textId="77777777" w:rsidR="007823D1" w:rsidRPr="00ED36B5" w:rsidRDefault="007823D1" w:rsidP="007823D1">
            <w:pPr>
              <w:numPr>
                <w:ilvl w:val="0"/>
                <w:numId w:val="2"/>
              </w:num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KZ"/>
              </w:rPr>
              <w:t xml:space="preserve">инструкция по эксплуатации. </w:t>
            </w:r>
          </w:p>
          <w:p w14:paraId="4CB8D993" w14:textId="3D54DB00" w:rsidR="005353D7" w:rsidRPr="00ED36B5" w:rsidRDefault="005353D7" w:rsidP="005353D7">
            <w:pPr>
              <w:tabs>
                <w:tab w:val="left" w:pos="1020"/>
              </w:tabs>
              <w:ind w:firstLine="56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353D7" w:rsidRPr="00ED36B5" w14:paraId="487967F3" w14:textId="77777777" w:rsidTr="00ED36B5">
        <w:trPr>
          <w:trHeight w:val="762"/>
        </w:trPr>
        <w:tc>
          <w:tcPr>
            <w:tcW w:w="993" w:type="dxa"/>
            <w:gridSpan w:val="2"/>
          </w:tcPr>
          <w:p w14:paraId="18A26AE2" w14:textId="77777777" w:rsidR="005353D7" w:rsidRPr="00ED36B5" w:rsidRDefault="005353D7" w:rsidP="005353D7">
            <w:pPr>
              <w:tabs>
                <w:tab w:val="left" w:pos="1020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29EB0E2F" w14:textId="4D72D164" w:rsidR="005353D7" w:rsidRPr="00ED36B5" w:rsidRDefault="007823D1" w:rsidP="005353D7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D36B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Срок строительства объекта</w:t>
            </w:r>
          </w:p>
        </w:tc>
        <w:tc>
          <w:tcPr>
            <w:tcW w:w="6804" w:type="dxa"/>
          </w:tcPr>
          <w:p w14:paraId="398BEFC0" w14:textId="5BA1F9DD" w:rsidR="005353D7" w:rsidRPr="00ED36B5" w:rsidRDefault="005353D7" w:rsidP="005353D7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36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2026 ж. –20</w:t>
            </w:r>
            <w:r w:rsidR="00DC435A" w:rsidRPr="00ED36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</w:t>
            </w:r>
            <w:r w:rsidRPr="00ED36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ж.</w:t>
            </w:r>
          </w:p>
        </w:tc>
      </w:tr>
    </w:tbl>
    <w:p w14:paraId="7961A47F" w14:textId="77777777" w:rsidR="00ED36B5" w:rsidRPr="00ED36B5" w:rsidRDefault="00ED36B5" w:rsidP="00ED36B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57BE20E7" w14:textId="77777777" w:rsidR="00ED36B5" w:rsidRPr="00ED36B5" w:rsidRDefault="00ED36B5" w:rsidP="00ED36B5">
      <w:pPr>
        <w:pStyle w:val="af0"/>
        <w:jc w:val="center"/>
        <w:rPr>
          <w:sz w:val="28"/>
          <w:szCs w:val="28"/>
        </w:rPr>
      </w:pPr>
      <w:r w:rsidRPr="00ED36B5">
        <w:rPr>
          <w:sz w:val="28"/>
          <w:szCs w:val="28"/>
        </w:rPr>
        <w:lastRenderedPageBreak/>
        <w:t>Общие требования ко всем объектам</w:t>
      </w:r>
    </w:p>
    <w:p w14:paraId="6AF30DEA" w14:textId="77777777" w:rsidR="00ED36B5" w:rsidRPr="00ED36B5" w:rsidRDefault="00ED36B5" w:rsidP="00ED36B5">
      <w:pPr>
        <w:pStyle w:val="ae"/>
        <w:rPr>
          <w:rFonts w:ascii="Times New Roman" w:hAnsi="Times New Roman" w:cs="Times New Roman"/>
          <w:sz w:val="28"/>
          <w:szCs w:val="28"/>
          <w:lang w:val="ru-RU" w:eastAsia="ru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12"/>
        <w:gridCol w:w="7133"/>
      </w:tblGrid>
      <w:tr w:rsidR="00ED36B5" w:rsidRPr="00ED36B5" w14:paraId="2F9B44C8" w14:textId="77777777" w:rsidTr="000A4E14">
        <w:tc>
          <w:tcPr>
            <w:tcW w:w="1980" w:type="dxa"/>
            <w:vAlign w:val="center"/>
          </w:tcPr>
          <w:p w14:paraId="0969A832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и требования</w:t>
            </w:r>
          </w:p>
        </w:tc>
        <w:tc>
          <w:tcPr>
            <w:tcW w:w="7365" w:type="dxa"/>
            <w:vAlign w:val="center"/>
          </w:tcPr>
          <w:p w14:paraId="35664614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Техническое содержание и характеристики</w:t>
            </w:r>
          </w:p>
        </w:tc>
      </w:tr>
      <w:tr w:rsidR="00ED36B5" w:rsidRPr="00ED36B5" w14:paraId="23C1A8A5" w14:textId="77777777" w:rsidTr="000A4E14">
        <w:tc>
          <w:tcPr>
            <w:tcW w:w="1980" w:type="dxa"/>
            <w:vAlign w:val="center"/>
          </w:tcPr>
          <w:p w14:paraId="72AA8C7D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Инженерное обеспечение и оборудование</w:t>
            </w:r>
          </w:p>
        </w:tc>
        <w:tc>
          <w:tcPr>
            <w:tcW w:w="7365" w:type="dxa"/>
            <w:vAlign w:val="center"/>
          </w:tcPr>
          <w:p w14:paraId="13DC7D77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Электроснабжение: </w:t>
            </w:r>
          </w:p>
          <w:p w14:paraId="0CC600FF" w14:textId="77777777" w:rsidR="00ED36B5" w:rsidRPr="00ED36B5" w:rsidRDefault="00ED36B5" w:rsidP="000A4E14">
            <w:pPr>
              <w:ind w:firstLine="3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- автономные источники электроэнергии, использующие солнечные панели (солнечные электростанции) и энергию воздушных потоков (ветрогенераторы);</w:t>
            </w:r>
          </w:p>
          <w:p w14:paraId="2320E40C" w14:textId="77777777" w:rsidR="00ED36B5" w:rsidRPr="00ED36B5" w:rsidRDefault="00ED36B5" w:rsidP="000A4E14">
            <w:pPr>
              <w:ind w:firstLine="3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 Холодное водоснабжение: - водозаборные узлы подземных и поверхностных источников (ВЗУ); - использование дождевой воды путем ее сбора в специальные водонакопительные резервуары. </w:t>
            </w:r>
          </w:p>
          <w:p w14:paraId="3FD956AF" w14:textId="77777777" w:rsidR="00ED36B5" w:rsidRPr="00ED36B5" w:rsidRDefault="00ED36B5" w:rsidP="000A4E14">
            <w:pPr>
              <w:ind w:firstLine="3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Горячее водоснабжение: - от автономных электрических водонагревателей; - использование солнечной энергии для нагрева накопительных емкостей. </w:t>
            </w:r>
          </w:p>
          <w:p w14:paraId="0FDF4581" w14:textId="77777777" w:rsidR="00ED36B5" w:rsidRPr="00ED36B5" w:rsidRDefault="00ED36B5" w:rsidP="000A4E14">
            <w:pPr>
              <w:ind w:firstLine="3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Канализационные системы: - локальные очистные сооружения (ЛОС) с полной биологической очисткой; - накопительные емкости (выгребные ямы) с периодическим вывозом сточных вод и последующей утилизацией по договорам со специализированными организациями. </w:t>
            </w:r>
          </w:p>
          <w:p w14:paraId="037A15BF" w14:textId="77777777" w:rsidR="00ED36B5" w:rsidRPr="00ED36B5" w:rsidRDefault="00ED36B5" w:rsidP="000A4E14">
            <w:pPr>
              <w:ind w:firstLine="3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Отопление: - автономное от электрических котлов; </w:t>
            </w:r>
          </w:p>
          <w:p w14:paraId="7DA0F67B" w14:textId="77777777" w:rsidR="00ED36B5" w:rsidRPr="00ED36B5" w:rsidRDefault="00ED36B5" w:rsidP="000A4E14">
            <w:pPr>
              <w:ind w:firstLine="3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Газоснабжение: - использование газовых баллонов (для приготовления пищи); </w:t>
            </w:r>
          </w:p>
          <w:p w14:paraId="231CD26F" w14:textId="77777777" w:rsidR="00ED36B5" w:rsidRPr="00ED36B5" w:rsidRDefault="00ED36B5" w:rsidP="000A4E14">
            <w:pPr>
              <w:ind w:firstLine="315"/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Вентиляция: - с организацией вертикальных вытяжных воздуховодов и использованием естественной тяги; - механическая приточно-вытяжная вентиляция с применением систем рекуперации.</w:t>
            </w:r>
          </w:p>
        </w:tc>
      </w:tr>
      <w:tr w:rsidR="00ED36B5" w:rsidRPr="00ED36B5" w14:paraId="6BA821A4" w14:textId="77777777" w:rsidTr="000A4E14">
        <w:tc>
          <w:tcPr>
            <w:tcW w:w="1980" w:type="dxa"/>
            <w:vAlign w:val="center"/>
          </w:tcPr>
          <w:p w14:paraId="576F7DE2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Требования к строительным материалам</w:t>
            </w:r>
          </w:p>
        </w:tc>
        <w:tc>
          <w:tcPr>
            <w:tcW w:w="7365" w:type="dxa"/>
            <w:vAlign w:val="center"/>
          </w:tcPr>
          <w:p w14:paraId="6B3D2CED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Строительные материалы должны соответствовать требованиям нормативных правовых актов, устанавливающих нормы радиационной и химической безопасности, обеспечивающих возможность возведения сооружений с учетом комплекса обязательных требований безопасности, включая экономические аспекты, в соответствии со статьей 27-2 Закона РК «Об архитектурной, градостроительной и строительной деятельности в Республике Казахстан». При проектировании и строительстве сооружений необходимо учитывать нагрузки, которые могут привести: </w:t>
            </w:r>
          </w:p>
          <w:p w14:paraId="24F17A88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1) к обрушению всего сооружения либо его части; </w:t>
            </w:r>
          </w:p>
          <w:p w14:paraId="5EF685C0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2) к деформациям недопустимой величины; </w:t>
            </w:r>
          </w:p>
          <w:p w14:paraId="3276087E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к повреждению других частей сооружения либо установленного оборудования вследствие значительного повреждения несущих элементов. Здания должны проектироваться и строиться таким образом, чтобы в случае пожара: </w:t>
            </w:r>
          </w:p>
          <w:p w14:paraId="75309945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1) прочность несущих элементов сохранялась в течение определенного времени; </w:t>
            </w:r>
          </w:p>
          <w:p w14:paraId="6474E18D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2) образование и распространение огня и дыма внутри здания было ограничено; </w:t>
            </w:r>
          </w:p>
          <w:p w14:paraId="72FDD73B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3) обеспечивалась немедленная эвакуация людей, включая маломобильные группы населения, через аварийные выходы; </w:t>
            </w:r>
          </w:p>
          <w:p w14:paraId="0F36D9B0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4) спасательные подразделения могли безопасно получить доступ к очагам возгорания. Сооружения должны проектироваться и строиться таким образом, чтобы не создавать угрозы для гигиены и здоровья человека, в частности вследствие: </w:t>
            </w:r>
          </w:p>
          <w:p w14:paraId="4649F41A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1) выделения токсичных газов и иных вредных химических веществ; 2) наличия опасных частиц или газов в воздухе; </w:t>
            </w:r>
          </w:p>
          <w:p w14:paraId="1E266802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3) воздействия опасной радиации; </w:t>
            </w:r>
          </w:p>
          <w:p w14:paraId="4270D10B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4) загрязнения или заражения воды и почвы; </w:t>
            </w:r>
          </w:p>
          <w:p w14:paraId="7D10754C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5) выделения воды, дыма, твердых или жидких отходов; </w:t>
            </w:r>
          </w:p>
          <w:p w14:paraId="7B70F0CC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6) наличия влаги на частях сооружения или внутренних поверхностях. Сооружения должны проектироваться и строиться таким образом, чтобы их эксплуатация не создавала недопустимого риска несчастных случаев, таких как скольжение, падение, удары, ожоги, поражение электрическим током, травмы вследствие взрыва. </w:t>
            </w:r>
          </w:p>
          <w:p w14:paraId="36D2BC9E" w14:textId="77777777" w:rsidR="00ED36B5" w:rsidRPr="00ED36B5" w:rsidRDefault="00ED36B5" w:rsidP="000A4E14">
            <w:pPr>
              <w:ind w:firstLine="3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Шумоизоляция сооружений должна обеспечивать отсутствие недопустимого риска для жизни и здоровья человека. Здание, а также его системы отопления, охлаждения и вентиляции должны проектироваться и строиться таким образом, чтобы потребление энергии, необходимое для эксплуатации здания, оставалось нормальным с учетом местных климатических условий и без вреда для здоровья людей. С учетом вышеуказанных требований гостиницы будут оборудованы металлическими каркасами в форме юрт и выполнены из экологически чистых строительных материалов с деревянной отделкой. </w:t>
            </w:r>
          </w:p>
          <w:p w14:paraId="4D9AD2A3" w14:textId="77777777" w:rsidR="00ED36B5" w:rsidRPr="00ED36B5" w:rsidRDefault="00ED36B5" w:rsidP="000A4E14">
            <w:pPr>
              <w:ind w:firstLine="3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Гостиницы в форме пещерного камня будут состоять из прочных бетонных конструкций, армированных арматурой и установленных на металлических каркасах. Такие гостиницы не требуют фундамента и удобны для </w:t>
            </w: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перемещения и установки при помощи крана. Здания столовых будут строиться из прочных, гибких и небьющихся монолитных поликарбонатных панелей. </w:t>
            </w:r>
          </w:p>
          <w:p w14:paraId="478F9DDE" w14:textId="77777777" w:rsidR="00ED36B5" w:rsidRPr="00ED36B5" w:rsidRDefault="00ED36B5" w:rsidP="000A4E14">
            <w:pPr>
              <w:ind w:firstLine="3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Благодаря сварным металлическим каркасам фундамент не требуется, конструкции являются экологичными, безопасными, эстетичными и комфортными. Банный комплекс будет размещаться на ровной поверхности из цельных деревянных конструкций. Конструкции будут выполнены без фундамента, с возможностью разборки, повторной сборки и перемещения крупногабаритными кранами.</w:t>
            </w:r>
          </w:p>
        </w:tc>
      </w:tr>
      <w:tr w:rsidR="00ED36B5" w:rsidRPr="00ED36B5" w14:paraId="09D5ED07" w14:textId="77777777" w:rsidTr="000A4E14">
        <w:tc>
          <w:tcPr>
            <w:tcW w:w="1980" w:type="dxa"/>
            <w:vAlign w:val="center"/>
          </w:tcPr>
          <w:p w14:paraId="2C1F822C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инфраструктуре</w:t>
            </w:r>
          </w:p>
        </w:tc>
        <w:tc>
          <w:tcPr>
            <w:tcW w:w="7365" w:type="dxa"/>
            <w:vAlign w:val="center"/>
          </w:tcPr>
          <w:p w14:paraId="4FD1938C" w14:textId="77777777" w:rsidR="00ED36B5" w:rsidRPr="00ED36B5" w:rsidRDefault="00ED36B5" w:rsidP="000A4E14">
            <w:pPr>
              <w:ind w:firstLine="4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благоустройства включают средства организации рельефа (лестницы, уклоны, подпорные стены), ограждения, малые архитектурные формы (декоративные элементы, беседки, урны и др.). </w:t>
            </w:r>
          </w:p>
          <w:p w14:paraId="3616393A" w14:textId="77777777" w:rsidR="00ED36B5" w:rsidRPr="00ED36B5" w:rsidRDefault="00ED36B5" w:rsidP="000A4E14">
            <w:pPr>
              <w:ind w:firstLine="4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Скамейки — наиболее простое, экономичное и тематически подходящее решение для обустройства мест отдыха на природных территориях — использование деревянных и каменных скамеек естественного цвета материала. </w:t>
            </w:r>
          </w:p>
          <w:p w14:paraId="0D9E37F8" w14:textId="77777777" w:rsidR="00ED36B5" w:rsidRPr="00ED36B5" w:rsidRDefault="00ED36B5" w:rsidP="000A4E14">
            <w:pPr>
              <w:ind w:firstLine="4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Беседка — легкая конструкция для спокойного и кратковременного отдыха. Такие беседки могут использоваться как небольшие торговые точки обслуживания туристов. При размещении беседок необходимо учитывать особенности рельефа, ландшафтную композицию, наличие открытых пространств и расположение других архитектурных объектов. Пешеходные дорожки будут выполнены из специальных ячеистых конструкций китайского производства, не повреждающих корневую систему газонной травы.</w:t>
            </w:r>
          </w:p>
        </w:tc>
      </w:tr>
      <w:tr w:rsidR="00ED36B5" w:rsidRPr="00ED36B5" w14:paraId="75440DF4" w14:textId="77777777" w:rsidTr="000A4E14">
        <w:tc>
          <w:tcPr>
            <w:tcW w:w="1980" w:type="dxa"/>
            <w:vAlign w:val="center"/>
          </w:tcPr>
          <w:p w14:paraId="6EF2E767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7365" w:type="dxa"/>
            <w:vAlign w:val="center"/>
          </w:tcPr>
          <w:p w14:paraId="77A44DA8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Все сооружения не превышают двух этажей.</w:t>
            </w:r>
          </w:p>
        </w:tc>
      </w:tr>
      <w:tr w:rsidR="00ED36B5" w:rsidRPr="00ED36B5" w14:paraId="6C3E6631" w14:textId="77777777" w:rsidTr="000A4E14">
        <w:tc>
          <w:tcPr>
            <w:tcW w:w="1980" w:type="dxa"/>
            <w:vAlign w:val="center"/>
          </w:tcPr>
          <w:p w14:paraId="4ED84772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Благоустройство строительных объектов</w:t>
            </w:r>
          </w:p>
        </w:tc>
        <w:tc>
          <w:tcPr>
            <w:tcW w:w="7365" w:type="dxa"/>
            <w:vAlign w:val="center"/>
          </w:tcPr>
          <w:p w14:paraId="5A39B95A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Все зеленые насаждения, произрастающие на участках национального парка, подлежат охране. Уход за зелеными насаждениями включает: </w:t>
            </w:r>
          </w:p>
          <w:p w14:paraId="7388A2D6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1. посадку зеленых насаждений; </w:t>
            </w:r>
          </w:p>
          <w:p w14:paraId="5BDBD038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2. устройство цветников и газонов; 3. прополку сорняков, покос травы;</w:t>
            </w:r>
          </w:p>
          <w:p w14:paraId="1ACFE484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 4. полив зеленых насаждений; </w:t>
            </w:r>
          </w:p>
          <w:p w14:paraId="347E4C35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5. борьбу с вредителями и болезнями.</w:t>
            </w:r>
          </w:p>
        </w:tc>
      </w:tr>
      <w:tr w:rsidR="00ED36B5" w:rsidRPr="00ED36B5" w14:paraId="56C3DCA5" w14:textId="77777777" w:rsidTr="000A4E14">
        <w:tc>
          <w:tcPr>
            <w:tcW w:w="1980" w:type="dxa"/>
            <w:vAlign w:val="center"/>
          </w:tcPr>
          <w:p w14:paraId="30E356F2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Утилизация отходов, образующихся при строительстве</w:t>
            </w:r>
          </w:p>
        </w:tc>
        <w:tc>
          <w:tcPr>
            <w:tcW w:w="7365" w:type="dxa"/>
            <w:vAlign w:val="center"/>
          </w:tcPr>
          <w:p w14:paraId="1C8B402F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строительства объектов, при образовании строительных отходов, необходимо предусмотреть меры безопасного обращения с ними, соблюдать экологические и санитарно-эпидемиологические требования, а также </w:t>
            </w: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выполнять мероприятия по их утилизации, обезвреживанию и безопасному удалению. </w:t>
            </w:r>
          </w:p>
          <w:p w14:paraId="2529FC61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Для сбора бытовых отходов рекомендуется использовать контейнеры с крышками на специально отведенной площадке.</w:t>
            </w:r>
          </w:p>
        </w:tc>
      </w:tr>
      <w:tr w:rsidR="00ED36B5" w:rsidRPr="00ED36B5" w14:paraId="6CEF751C" w14:textId="77777777" w:rsidTr="000A4E14">
        <w:tc>
          <w:tcPr>
            <w:tcW w:w="1980" w:type="dxa"/>
            <w:vAlign w:val="center"/>
          </w:tcPr>
          <w:p w14:paraId="32F483C1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санитарно-гигиеническим узлам</w:t>
            </w:r>
          </w:p>
        </w:tc>
        <w:tc>
          <w:tcPr>
            <w:tcW w:w="7365" w:type="dxa"/>
            <w:vAlign w:val="center"/>
          </w:tcPr>
          <w:p w14:paraId="696F4679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- Туалеты должны соответствовать минимально необходимым техническим требованиям и обеспечивать механическую, пожарную, радиационную, термическую и санитарно-эпидемиологическую безопасность в соответствии с главой 4 технического регламента Республики Казахстан «Общие технические требования к металлическим конструкциям», утвержденного постановлением Правительства РК от 31 декабря 2008 года №1353. - Пол должен быть выполнен из негорючих и влагостойких материалов с углублением (сливом) для отвода излишней жидкости. - Высота потолков помещения должна быть не менее 2,5 м. - Кровля должна быть выполнена из оцинкованного профиля с декоративным парапетом, выступающим от фасада и боковых сторон на 0,2 м, высотой не менее 0,6 м. По нижней части парапета по периметру устанавливается диодное освещение. - Наружная дверь металлическая, одностворчатая, утепленная, антивандальная, с резиновым уплотнителем по периметру для герметизации, устойчивая к температуре и влаге, оснащенная цилиндровым замком, ручкой и доводчиком, предотвращающим избыточную теплопотерю. В общественных туалетах должны предусматриваться: - не менее одной кабины для инвалидов-колясочников; - не менее одной кабины с поручнями, расположенными по основным сторонам, для инвалидов, использующих костыли или другие устройства; - не менее одной раковины с поручнями на высоте не более 0,8 м от уровня пола и на расстоянии не менее 0,2 м от боковой стены; - для обеспечения передвижения лиц с ограниченными возможностями лестницы должны дублироваться пандусами, а при необходимости — другими подъемными устройствами. Большинство санитарных блоков в межсезонье замерзают, поэтому отделочные материалы и инженерные решения должны соответствовать этим условиям. Санитарные кабины могут быть автономными.</w:t>
            </w:r>
          </w:p>
        </w:tc>
      </w:tr>
      <w:tr w:rsidR="00ED36B5" w:rsidRPr="00ED36B5" w14:paraId="36ABDB13" w14:textId="77777777" w:rsidTr="000A4E14">
        <w:tc>
          <w:tcPr>
            <w:tcW w:w="1980" w:type="dxa"/>
            <w:vAlign w:val="center"/>
          </w:tcPr>
          <w:p w14:paraId="396C9541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социальной инфраструктуры </w:t>
            </w: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доступа инвалидов к объектам строительства</w:t>
            </w:r>
          </w:p>
        </w:tc>
        <w:tc>
          <w:tcPr>
            <w:tcW w:w="7365" w:type="dxa"/>
            <w:vAlign w:val="center"/>
          </w:tcPr>
          <w:p w14:paraId="15A6AF9D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 проектировании и строительстве объектов необходимо предусматривать установку пандусов, поручней и кнопок вызова для лиц с ограниченными </w:t>
            </w: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возможностями. - При проектировании и строительстве открытых автостоянок в пределах строительных объектов необходимо предусматривать специальные места для личного транспорта инвалидов. В случаях, когда адаптация строительных объектов для доступа инвалидов невозможна, должны быть разработаны и реализованы необходимые меры, максимально учитывающие потребности инвалидов.</w:t>
            </w:r>
          </w:p>
        </w:tc>
      </w:tr>
      <w:tr w:rsidR="00ED36B5" w:rsidRPr="00ED36B5" w14:paraId="7C044C02" w14:textId="77777777" w:rsidTr="000A4E14">
        <w:tc>
          <w:tcPr>
            <w:tcW w:w="1980" w:type="dxa"/>
            <w:vAlign w:val="center"/>
          </w:tcPr>
          <w:p w14:paraId="7A0034DA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по возмещению расходов, связанных со сносом недвижимого имущества</w:t>
            </w:r>
          </w:p>
        </w:tc>
        <w:tc>
          <w:tcPr>
            <w:tcW w:w="7365" w:type="dxa"/>
            <w:vAlign w:val="center"/>
          </w:tcPr>
          <w:p w14:paraId="74F87DF0" w14:textId="77777777" w:rsidR="00ED36B5" w:rsidRPr="00ED36B5" w:rsidRDefault="00ED36B5" w:rsidP="000A4E14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ED36B5">
              <w:rPr>
                <w:rFonts w:ascii="Times New Roman" w:hAnsi="Times New Roman" w:cs="Times New Roman"/>
                <w:sz w:val="28"/>
                <w:szCs w:val="28"/>
              </w:rPr>
              <w:t>В случае наличия на земельном участке, отведенном под строительство, старых объектов, подлежащих сносу, основным требованием является предоставление пользователем земельного участка актов о сносе объектов. На земельном участке, отведенном под строительство, отсутствуют старые объекты, подлежащие сносу.</w:t>
            </w:r>
          </w:p>
        </w:tc>
      </w:tr>
    </w:tbl>
    <w:p w14:paraId="4BE4D140" w14:textId="77777777" w:rsidR="00ED36B5" w:rsidRPr="00ED36B5" w:rsidRDefault="00ED36B5" w:rsidP="00ED36B5">
      <w:pPr>
        <w:pStyle w:val="ae"/>
        <w:rPr>
          <w:rFonts w:ascii="Times New Roman" w:hAnsi="Times New Roman" w:cs="Times New Roman"/>
          <w:sz w:val="28"/>
          <w:szCs w:val="28"/>
          <w:lang w:val="ru-RU" w:eastAsia="ru-KZ"/>
        </w:rPr>
      </w:pPr>
    </w:p>
    <w:p w14:paraId="691935CE" w14:textId="77777777" w:rsidR="00ED36B5" w:rsidRPr="00ED36B5" w:rsidRDefault="00ED36B5" w:rsidP="00ED36B5">
      <w:pPr>
        <w:pStyle w:val="ae"/>
        <w:rPr>
          <w:rFonts w:ascii="Times New Roman" w:hAnsi="Times New Roman" w:cs="Times New Roman"/>
          <w:sz w:val="28"/>
          <w:szCs w:val="28"/>
          <w:lang w:val="ru-RU" w:eastAsia="ru-KZ"/>
        </w:rPr>
      </w:pPr>
    </w:p>
    <w:sectPr w:rsidR="00ED36B5" w:rsidRPr="00ED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F222" w14:textId="77777777" w:rsidR="00050ED9" w:rsidRDefault="00050ED9" w:rsidP="00ED36B5">
      <w:pPr>
        <w:spacing w:after="0" w:line="240" w:lineRule="auto"/>
      </w:pPr>
      <w:r>
        <w:separator/>
      </w:r>
    </w:p>
  </w:endnote>
  <w:endnote w:type="continuationSeparator" w:id="0">
    <w:p w14:paraId="47415BFF" w14:textId="77777777" w:rsidR="00050ED9" w:rsidRDefault="00050ED9" w:rsidP="00ED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3279" w14:textId="77777777" w:rsidR="00050ED9" w:rsidRDefault="00050ED9" w:rsidP="00ED36B5">
      <w:pPr>
        <w:spacing w:after="0" w:line="240" w:lineRule="auto"/>
      </w:pPr>
      <w:r>
        <w:separator/>
      </w:r>
    </w:p>
  </w:footnote>
  <w:footnote w:type="continuationSeparator" w:id="0">
    <w:p w14:paraId="757F45D5" w14:textId="77777777" w:rsidR="00050ED9" w:rsidRDefault="00050ED9" w:rsidP="00ED3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679"/>
    <w:multiLevelType w:val="multilevel"/>
    <w:tmpl w:val="8F6A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93AC8"/>
    <w:multiLevelType w:val="hybridMultilevel"/>
    <w:tmpl w:val="89AE476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2C3691"/>
    <w:multiLevelType w:val="hybridMultilevel"/>
    <w:tmpl w:val="0936ADBA"/>
    <w:lvl w:ilvl="0" w:tplc="384E8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8726650">
    <w:abstractNumId w:val="2"/>
  </w:num>
  <w:num w:numId="2" w16cid:durableId="332881853">
    <w:abstractNumId w:val="0"/>
  </w:num>
  <w:num w:numId="3" w16cid:durableId="161581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1B"/>
    <w:rsid w:val="00050ED9"/>
    <w:rsid w:val="00146A31"/>
    <w:rsid w:val="00304830"/>
    <w:rsid w:val="003B2443"/>
    <w:rsid w:val="00412B70"/>
    <w:rsid w:val="005353D7"/>
    <w:rsid w:val="005E6131"/>
    <w:rsid w:val="007823D1"/>
    <w:rsid w:val="00834120"/>
    <w:rsid w:val="008F3D7B"/>
    <w:rsid w:val="00950D31"/>
    <w:rsid w:val="009A14C6"/>
    <w:rsid w:val="00B12B1B"/>
    <w:rsid w:val="00BE7EDD"/>
    <w:rsid w:val="00DC435A"/>
    <w:rsid w:val="00ED36B5"/>
    <w:rsid w:val="00F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F5A9"/>
  <w15:chartTrackingRefBased/>
  <w15:docId w15:val="{66FCCD9F-5868-4B20-A8A2-E9BB7600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-">
    <w:name w:val="heading 1"/>
    <w:basedOn w:val="a"/>
    <w:next w:val="a"/>
    <w:link w:val="1-0"/>
    <w:uiPriority w:val="9"/>
    <w:qFormat/>
    <w:rsid w:val="00B1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-">
    <w:name w:val="heading 2"/>
    <w:basedOn w:val="a"/>
    <w:next w:val="a"/>
    <w:link w:val="2-0"/>
    <w:uiPriority w:val="9"/>
    <w:semiHidden/>
    <w:unhideWhenUsed/>
    <w:qFormat/>
    <w:rsid w:val="00B1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-">
    <w:name w:val="heading 3"/>
    <w:basedOn w:val="a"/>
    <w:next w:val="a"/>
    <w:link w:val="3-0"/>
    <w:uiPriority w:val="9"/>
    <w:semiHidden/>
    <w:unhideWhenUsed/>
    <w:qFormat/>
    <w:rsid w:val="00B1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-">
    <w:name w:val="heading 4"/>
    <w:basedOn w:val="a"/>
    <w:next w:val="a"/>
    <w:link w:val="4-0"/>
    <w:uiPriority w:val="9"/>
    <w:semiHidden/>
    <w:unhideWhenUsed/>
    <w:qFormat/>
    <w:rsid w:val="00B1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-">
    <w:name w:val="heading 5"/>
    <w:basedOn w:val="a"/>
    <w:next w:val="a"/>
    <w:link w:val="5-0"/>
    <w:uiPriority w:val="9"/>
    <w:semiHidden/>
    <w:unhideWhenUsed/>
    <w:qFormat/>
    <w:rsid w:val="00B1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-">
    <w:name w:val="heading 6"/>
    <w:basedOn w:val="a"/>
    <w:next w:val="a"/>
    <w:link w:val="6-0"/>
    <w:uiPriority w:val="9"/>
    <w:semiHidden/>
    <w:unhideWhenUsed/>
    <w:qFormat/>
    <w:rsid w:val="00B1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-">
    <w:name w:val="heading 7"/>
    <w:basedOn w:val="a"/>
    <w:next w:val="a"/>
    <w:link w:val="7-0"/>
    <w:uiPriority w:val="9"/>
    <w:semiHidden/>
    <w:unhideWhenUsed/>
    <w:qFormat/>
    <w:rsid w:val="00B1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-">
    <w:name w:val="heading 8"/>
    <w:basedOn w:val="a"/>
    <w:next w:val="a"/>
    <w:link w:val="8-0"/>
    <w:uiPriority w:val="9"/>
    <w:semiHidden/>
    <w:unhideWhenUsed/>
    <w:qFormat/>
    <w:rsid w:val="00B1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-">
    <w:name w:val="heading 9"/>
    <w:basedOn w:val="a"/>
    <w:next w:val="a"/>
    <w:link w:val="9-0"/>
    <w:uiPriority w:val="9"/>
    <w:semiHidden/>
    <w:unhideWhenUsed/>
    <w:qFormat/>
    <w:rsid w:val="00B1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-0">
    <w:name w:val="1-тақырып Таңба"/>
    <w:basedOn w:val="a0"/>
    <w:link w:val="1-"/>
    <w:uiPriority w:val="9"/>
    <w:rsid w:val="00B1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-0">
    <w:name w:val="2-тақырып Таңба"/>
    <w:basedOn w:val="a0"/>
    <w:link w:val="2-"/>
    <w:uiPriority w:val="9"/>
    <w:semiHidden/>
    <w:rsid w:val="00B1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-0">
    <w:name w:val="3-тақырып Таңба"/>
    <w:basedOn w:val="a0"/>
    <w:link w:val="3-"/>
    <w:uiPriority w:val="9"/>
    <w:semiHidden/>
    <w:rsid w:val="00B1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-0">
    <w:name w:val="4-тақырып Таңба"/>
    <w:basedOn w:val="a0"/>
    <w:link w:val="4-"/>
    <w:uiPriority w:val="9"/>
    <w:semiHidden/>
    <w:rsid w:val="00B12B1B"/>
    <w:rPr>
      <w:rFonts w:eastAsiaTheme="majorEastAsia" w:cstheme="majorBidi"/>
      <w:i/>
      <w:iCs/>
      <w:color w:val="0F4761" w:themeColor="accent1" w:themeShade="BF"/>
    </w:rPr>
  </w:style>
  <w:style w:type="character" w:customStyle="1" w:styleId="5-0">
    <w:name w:val="5-тақырып Таңба"/>
    <w:basedOn w:val="a0"/>
    <w:link w:val="5-"/>
    <w:uiPriority w:val="9"/>
    <w:semiHidden/>
    <w:rsid w:val="00B12B1B"/>
    <w:rPr>
      <w:rFonts w:eastAsiaTheme="majorEastAsia" w:cstheme="majorBidi"/>
      <w:color w:val="0F4761" w:themeColor="accent1" w:themeShade="BF"/>
    </w:rPr>
  </w:style>
  <w:style w:type="character" w:customStyle="1" w:styleId="6-0">
    <w:name w:val="6-тақырып Таңба"/>
    <w:basedOn w:val="a0"/>
    <w:link w:val="6-"/>
    <w:uiPriority w:val="9"/>
    <w:semiHidden/>
    <w:rsid w:val="00B12B1B"/>
    <w:rPr>
      <w:rFonts w:eastAsiaTheme="majorEastAsia" w:cstheme="majorBidi"/>
      <w:i/>
      <w:iCs/>
      <w:color w:val="595959" w:themeColor="text1" w:themeTint="A6"/>
    </w:rPr>
  </w:style>
  <w:style w:type="character" w:customStyle="1" w:styleId="7-0">
    <w:name w:val="7-тақырып Таңба"/>
    <w:basedOn w:val="a0"/>
    <w:link w:val="7-"/>
    <w:uiPriority w:val="9"/>
    <w:semiHidden/>
    <w:rsid w:val="00B12B1B"/>
    <w:rPr>
      <w:rFonts w:eastAsiaTheme="majorEastAsia" w:cstheme="majorBidi"/>
      <w:color w:val="595959" w:themeColor="text1" w:themeTint="A6"/>
    </w:rPr>
  </w:style>
  <w:style w:type="character" w:customStyle="1" w:styleId="8-0">
    <w:name w:val="8-тақырып Таңба"/>
    <w:basedOn w:val="a0"/>
    <w:link w:val="8-"/>
    <w:uiPriority w:val="9"/>
    <w:semiHidden/>
    <w:rsid w:val="00B12B1B"/>
    <w:rPr>
      <w:rFonts w:eastAsiaTheme="majorEastAsia" w:cstheme="majorBidi"/>
      <w:i/>
      <w:iCs/>
      <w:color w:val="272727" w:themeColor="text1" w:themeTint="D8"/>
    </w:rPr>
  </w:style>
  <w:style w:type="character" w:customStyle="1" w:styleId="9-0">
    <w:name w:val="9-тақырып Таңба"/>
    <w:basedOn w:val="a0"/>
    <w:link w:val="9-"/>
    <w:uiPriority w:val="9"/>
    <w:semiHidden/>
    <w:rsid w:val="00B12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Тақырып Таңба"/>
    <w:basedOn w:val="a0"/>
    <w:link w:val="a3"/>
    <w:uiPriority w:val="10"/>
    <w:rsid w:val="00B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Тақырыпша Таңба"/>
    <w:basedOn w:val="a0"/>
    <w:link w:val="a5"/>
    <w:uiPriority w:val="11"/>
    <w:rsid w:val="00B1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Дәйексөз Таңба"/>
    <w:basedOn w:val="a0"/>
    <w:link w:val="a7"/>
    <w:uiPriority w:val="29"/>
    <w:rsid w:val="00B12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B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Баса көрсетілген дәйексөз Таңба"/>
    <w:basedOn w:val="a0"/>
    <w:link w:val="ab"/>
    <w:uiPriority w:val="30"/>
    <w:rsid w:val="00B12B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2B1B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B12B1B"/>
    <w:pPr>
      <w:spacing w:after="0" w:line="240" w:lineRule="auto"/>
    </w:pPr>
  </w:style>
  <w:style w:type="table" w:styleId="af">
    <w:name w:val="Table Grid"/>
    <w:basedOn w:val="a1"/>
    <w:uiPriority w:val="39"/>
    <w:rsid w:val="00B1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5353D7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ED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  <w:style w:type="paragraph" w:styleId="af1">
    <w:name w:val="header"/>
    <w:basedOn w:val="a"/>
    <w:link w:val="af2"/>
    <w:uiPriority w:val="99"/>
    <w:unhideWhenUsed/>
    <w:rsid w:val="00ED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Жоғарғы колонтитул Таңба"/>
    <w:basedOn w:val="a0"/>
    <w:link w:val="af1"/>
    <w:uiPriority w:val="99"/>
    <w:rsid w:val="00ED36B5"/>
  </w:style>
  <w:style w:type="paragraph" w:styleId="af3">
    <w:name w:val="footer"/>
    <w:basedOn w:val="a"/>
    <w:link w:val="af4"/>
    <w:uiPriority w:val="99"/>
    <w:unhideWhenUsed/>
    <w:rsid w:val="00ED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Төменгі колонтитул Таңба"/>
    <w:basedOn w:val="a0"/>
    <w:link w:val="af3"/>
    <w:uiPriority w:val="99"/>
    <w:rsid w:val="00ED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Американдық психологиялық қауымдастық" Version="6"/>
</file>

<file path=customXml/itemProps1.xml><?xml version="1.0" encoding="utf-8"?>
<ds:datastoreItem xmlns:ds="http://schemas.openxmlformats.org/officeDocument/2006/customXml" ds:itemID="{955CAC5B-E7D5-44A4-909E-12CA1E91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2540</Words>
  <Characters>14483</Characters>
  <Application>Microsoft Office Word</Application>
  <DocSecurity>0</DocSecurity>
  <Lines>120</Lines>
  <Paragraphs>33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Нарұл Ерболат</dc:creator>
  <cp:keywords/>
  <dc:description/>
  <cp:lastModifiedBy>Нарұл Ерболат</cp:lastModifiedBy>
  <cp:revision>2</cp:revision>
  <dcterms:created xsi:type="dcterms:W3CDTF">2026-05-25T11:02:00Z</dcterms:created>
  <dcterms:modified xsi:type="dcterms:W3CDTF">2026-05-25T11:02:00Z</dcterms:modified>
</cp:coreProperties>
</file>